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Oude Grieken – Jonge Helden</w:t>
      </w:r>
    </w:p>
    <w:p w:rsidR="00000000" w:rsidDel="00000000" w:rsidP="00000000" w:rsidRDefault="00000000" w:rsidRPr="00000000" w14:paraId="00000002">
      <w:pPr>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Lesplan 2</w:t>
      </w:r>
    </w:p>
    <w:p w:rsidR="00000000" w:rsidDel="00000000" w:rsidP="00000000" w:rsidRDefault="00000000" w:rsidRPr="00000000" w14:paraId="00000003">
      <w:pPr>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ff0000"/>
        </w:rPr>
      </w:pPr>
      <w:r w:rsidDel="00000000" w:rsidR="00000000" w:rsidRPr="00000000">
        <w:rPr>
          <w:rFonts w:ascii="Calibri" w:cs="Calibri" w:eastAsia="Calibri" w:hAnsi="Calibri"/>
          <w:b w:val="1"/>
          <w:rtl w:val="0"/>
        </w:rPr>
        <w:t xml:space="preserve">Het verhaal van de Trojaanse oorlog</w:t>
      </w:r>
      <w:r w:rsidDel="00000000" w:rsidR="00000000" w:rsidRPr="00000000">
        <w:rPr>
          <w:rtl w:val="0"/>
        </w:rPr>
      </w:r>
    </w:p>
    <w:p w:rsidR="00000000" w:rsidDel="00000000" w:rsidP="00000000" w:rsidRDefault="00000000" w:rsidRPr="00000000" w14:paraId="00000005">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Omschrijving van beginsituatie: </w:t>
      </w:r>
      <w:r w:rsidDel="00000000" w:rsidR="00000000" w:rsidRPr="00000000">
        <w:rPr>
          <w:rFonts w:ascii="Calibri" w:cs="Calibri" w:eastAsia="Calibri" w:hAnsi="Calibri"/>
          <w:sz w:val="22"/>
          <w:szCs w:val="22"/>
          <w:rtl w:val="0"/>
        </w:rPr>
        <w:t xml:space="preserve">De leerlingen hebben in de vorige les de kleine letters van het Griekse alfabet aangeleerd. De leerlingen weten waar en wanneer de oude Grieken leefden.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7">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Lesplan:</w:t>
      </w:r>
    </w:p>
    <w:tbl>
      <w:tblPr>
        <w:tblStyle w:val="Table1"/>
        <w:tblW w:w="15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980"/>
        <w:gridCol w:w="3855"/>
        <w:gridCol w:w="2100"/>
        <w:gridCol w:w="2865"/>
        <w:gridCol w:w="3810"/>
        <w:tblGridChange w:id="0">
          <w:tblGrid>
            <w:gridCol w:w="1245"/>
            <w:gridCol w:w="1980"/>
            <w:gridCol w:w="3855"/>
            <w:gridCol w:w="2100"/>
            <w:gridCol w:w="2865"/>
            <w:gridCol w:w="3810"/>
          </w:tblGrid>
        </w:tblGridChange>
      </w:tblGrid>
      <w:tr>
        <w:trPr>
          <w:cantSplit w:val="0"/>
          <w:tblHeader w:val="0"/>
        </w:trPr>
        <w:tc>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Timing</w:t>
            </w:r>
          </w:p>
        </w:tc>
        <w:tc>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Leerinhoud</w:t>
            </w:r>
          </w:p>
        </w:tc>
        <w:tc>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Aanpak/werkvorm</w:t>
            </w:r>
          </w:p>
        </w:tc>
        <w:tc>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Taal</w:t>
            </w:r>
          </w:p>
        </w:tc>
        <w:tc>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Link naar leerplan 3de graad</w:t>
            </w:r>
          </w:p>
        </w:tc>
        <w:tc>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organisatie en ontwikkeld materiaal</w:t>
            </w:r>
          </w:p>
        </w:tc>
      </w:tr>
      <w:tr>
        <w:trPr>
          <w:cantSplit w:val="0"/>
          <w:trHeight w:val="2145" w:hRule="atLeast"/>
          <w:tblHeader w:val="0"/>
        </w:trPr>
        <w:tc>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Introductie </w:t>
            </w:r>
          </w:p>
        </w:tc>
        <w:tc>
          <w:tcPr/>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sz w:val="22"/>
                <w:szCs w:val="22"/>
                <w:rtl w:val="0"/>
              </w:rPr>
              <w:t xml:space="preserve">De leerkracht verwelkomt de leerlingen en vraagt wat ze onthouden hebben van de vorige les. Het huiswerk wordt opgehaald en de les van vandaag wordt voorgesteld.</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tc>
        <w:tc>
          <w:tcPr/>
          <w:p w:rsidR="00000000" w:rsidDel="00000000" w:rsidP="00000000" w:rsidRDefault="00000000" w:rsidRPr="00000000" w14:paraId="00000013">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 Actief deelnemen aan een gesprek</w:t>
            </w:r>
          </w:p>
          <w:p w:rsidR="00000000" w:rsidDel="00000000" w:rsidP="00000000" w:rsidRDefault="00000000" w:rsidRPr="00000000" w14:paraId="0000001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IVzv2: Op een efficiënte manier informatie en leerervaringen opnemen, verwerken, weergeven (delen) en deze onthouden en inzetten bij nieuwe ervaringen en in complexere situaties</w:t>
            </w:r>
          </w:p>
        </w:tc>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(dia 1-2)</w:t>
            </w:r>
          </w:p>
        </w:tc>
      </w:tr>
      <w:tr>
        <w:trPr>
          <w:cantSplit w:val="0"/>
          <w:trHeight w:val="3870" w:hRule="atLeast"/>
          <w:tblHeader w:val="0"/>
        </w:trPr>
        <w:tc>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Herhaling van het Griekse alfabet</w:t>
            </w:r>
          </w:p>
        </w:tc>
        <w:tc>
          <w:tcPr/>
          <w:p w:rsidR="00000000" w:rsidDel="00000000" w:rsidP="00000000" w:rsidRDefault="00000000" w:rsidRPr="00000000" w14:paraId="00000018">
            <w:pPr>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De leerkracht overloopt samen met de leerlingen het Griekse alfabet. Hierbij wordt aandacht besteed aan de overeenkomstige klank in het Nederlands. De leerlingen herhalen de naam van de letter en de bijbehorende klank.</w:t>
            </w:r>
          </w:p>
          <w:p w:rsidR="00000000" w:rsidDel="00000000" w:rsidP="00000000" w:rsidRDefault="00000000" w:rsidRPr="00000000" w14:paraId="0000001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widowControl w:val="0"/>
              <w:numPr>
                <w:ilvl w:val="0"/>
                <w:numId w:val="9"/>
              </w:numPr>
              <w:ind w:left="720" w:hanging="360"/>
              <w:rPr>
                <w:sz w:val="22"/>
                <w:szCs w:val="22"/>
              </w:rPr>
            </w:pPr>
            <w:r w:rsidDel="00000000" w:rsidR="00000000" w:rsidRPr="00000000">
              <w:rPr>
                <w:rFonts w:ascii="Calibri" w:cs="Calibri" w:eastAsia="Calibri" w:hAnsi="Calibri"/>
                <w:sz w:val="22"/>
                <w:szCs w:val="22"/>
                <w:rtl w:val="0"/>
              </w:rPr>
              <w:t xml:space="preserve">De leerlingen spelen tweemaal bingo met het Griekse alfabet. </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C">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 </w:t>
            </w:r>
          </w:p>
          <w:p w:rsidR="00000000" w:rsidDel="00000000" w:rsidP="00000000" w:rsidRDefault="00000000" w:rsidRPr="00000000" w14:paraId="0000001D">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w:t>
            </w:r>
          </w:p>
        </w:tc>
        <w:tc>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TOtn2: Nadenken over de belangrijkste aspecten van het taalsysteem. Daarbij taalbeschouwelijke termen gebruiken</w:t>
            </w:r>
          </w:p>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TOtg1 Plezier beleven aan taal en het spelen met taal</w:t>
            </w:r>
          </w:p>
        </w:tc>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1: alfabet</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2: bingo</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c>
      </w:tr>
      <w:tr>
        <w:trPr>
          <w:cantSplit w:val="0"/>
          <w:trHeight w:val="5130" w:hRule="atLeast"/>
          <w:tblHeader w:val="0"/>
        </w:trPr>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Aanvullingen bij het Griekse alfabet &amp; naam in het Grieks</w:t>
            </w:r>
          </w:p>
        </w:tc>
        <w:tc>
          <w:tcPr/>
          <w:p w:rsidR="00000000" w:rsidDel="00000000" w:rsidP="00000000" w:rsidRDefault="00000000" w:rsidRPr="00000000" w14:paraId="0000002D">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concept van de spiritus lenis en asper wordt uitgelegd.</w:t>
            </w:r>
          </w:p>
          <w:p w:rsidR="00000000" w:rsidDel="00000000" w:rsidP="00000000" w:rsidRDefault="00000000" w:rsidRPr="00000000" w14:paraId="0000002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widowControl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lezen per woord de Oudgriekse woorden.</w:t>
            </w:r>
          </w:p>
          <w:p w:rsidR="00000000" w:rsidDel="00000000" w:rsidP="00000000" w:rsidRDefault="00000000" w:rsidRPr="00000000" w14:paraId="00000030">
            <w:pPr>
              <w:widowControl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widowControl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concept van uitgangen in het Oudgrieks wordt uitgelegd.</w:t>
            </w:r>
          </w:p>
          <w:p w:rsidR="00000000" w:rsidDel="00000000" w:rsidP="00000000" w:rsidRDefault="00000000" w:rsidRPr="00000000" w14:paraId="00000032">
            <w:pPr>
              <w:widowControl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widowControl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schrijven zelf hun naam in het Oudgrieks. Hierbij voegen ze ook de passende uitgang toe.</w:t>
            </w:r>
          </w:p>
          <w:p w:rsidR="00000000" w:rsidDel="00000000" w:rsidP="00000000" w:rsidRDefault="00000000" w:rsidRPr="00000000" w14:paraId="00000034">
            <w:pPr>
              <w:widowControl w:val="0"/>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(enkele woorden)</w:t>
            </w:r>
          </w:p>
        </w:tc>
        <w:tc>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TOtn2: Nadenken over de belangrijkste aspecten van het taalsysteem. Daarbij taalbeschouwelijke termen gebruiken</w:t>
            </w:r>
          </w:p>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MZkm4: Vloeiend schrijven</w:t>
            </w:r>
          </w:p>
        </w:tc>
        <w:tc>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(dia 3-6)</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3: mijn naam in het Oudgrieks</w:t>
            </w:r>
          </w:p>
        </w:tc>
      </w:tr>
      <w:tr>
        <w:trPr>
          <w:cantSplit w:val="0"/>
          <w:trHeight w:val="2775" w:hRule="atLeast"/>
          <w:tblHeader w:val="0"/>
        </w:trPr>
        <w:tc>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c>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Verhaal Trojaanse oorlog</w:t>
            </w:r>
          </w:p>
        </w:tc>
        <w:tc>
          <w:tcPr/>
          <w:p w:rsidR="00000000" w:rsidDel="00000000" w:rsidP="00000000" w:rsidRDefault="00000000" w:rsidRPr="00000000" w14:paraId="00000049">
            <w:pPr>
              <w:widowControl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Oudgriekse woorden op de hand-out van het verhaal </w:t>
            </w:r>
          </w:p>
          <w:p w:rsidR="00000000" w:rsidDel="00000000" w:rsidP="00000000" w:rsidRDefault="00000000" w:rsidRPr="00000000" w14:paraId="0000004A">
            <w:pPr>
              <w:widowControl w:val="0"/>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worden klassikaal voorgelezen.</w:t>
            </w:r>
          </w:p>
          <w:p w:rsidR="00000000" w:rsidDel="00000000" w:rsidP="00000000" w:rsidRDefault="00000000" w:rsidRPr="00000000" w14:paraId="0000004B">
            <w:pPr>
              <w:widowControl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widowControl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lezen één voor één klassikaal het verhaal voor en vullen de passende woorden in.</w:t>
            </w:r>
          </w:p>
          <w:p w:rsidR="00000000" w:rsidDel="00000000" w:rsidP="00000000" w:rsidRDefault="00000000" w:rsidRPr="00000000" w14:paraId="0000004D">
            <w:pPr>
              <w:widowControl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widowControl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nieuw aangeleerde woorden worden toegelicht aan de hand van hedendaagse afbeeldingen.</w:t>
            </w:r>
          </w:p>
          <w:p w:rsidR="00000000" w:rsidDel="00000000" w:rsidP="00000000" w:rsidRDefault="00000000" w:rsidRPr="00000000" w14:paraId="0000004F">
            <w:pPr>
              <w:widowControl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widowControl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nieuw aangeleerde woorden worden herhaald aan de hand van de gecontextualiseerde afbeeldingen.</w:t>
            </w:r>
          </w:p>
          <w:p w:rsidR="00000000" w:rsidDel="00000000" w:rsidP="00000000" w:rsidRDefault="00000000" w:rsidRPr="00000000" w14:paraId="00000051">
            <w:pPr>
              <w:widowControl w:val="0"/>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53">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 (enkele woorden)</w:t>
            </w:r>
          </w:p>
        </w:tc>
        <w:tc>
          <w:tcPr/>
          <w:p w:rsidR="00000000" w:rsidDel="00000000" w:rsidP="00000000" w:rsidRDefault="00000000" w:rsidRPr="00000000" w14:paraId="00000054">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TOtg2: Openstaan voor talige diversiteit en de gelijkwaardigheid van talen aanvaarden</w:t>
            </w:r>
          </w:p>
          <w:p w:rsidR="00000000" w:rsidDel="00000000" w:rsidP="00000000" w:rsidRDefault="00000000" w:rsidRPr="00000000" w14:paraId="00000055">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TOsn2: Voldoende vlot kunnen lezen om leeftijdsadequate teksten te begrijpen</w:t>
            </w:r>
          </w:p>
          <w:p w:rsidR="00000000" w:rsidDel="00000000" w:rsidP="00000000" w:rsidRDefault="00000000" w:rsidRPr="00000000" w14:paraId="00000056">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(dia 7 -11): afbeeldingen op Powerpoint</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4: het verhaal van Troje</w:t>
            </w:r>
          </w:p>
        </w:tc>
      </w:tr>
      <w:tr>
        <w:trPr>
          <w:cantSplit w:val="1"/>
          <w:trHeight w:val="5115" w:hRule="atLeast"/>
          <w:tblHeader w:val="0"/>
        </w:trPr>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worden Grieken en Trojanen!</w:t>
            </w:r>
          </w:p>
        </w:tc>
        <w:tc>
          <w:tcPr/>
          <w:p w:rsidR="00000000" w:rsidDel="00000000" w:rsidP="00000000" w:rsidRDefault="00000000" w:rsidRPr="00000000" w14:paraId="0000005C">
            <w:pPr>
              <w:widowControl w:val="0"/>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leerlingen vullen de hand-out over een personage uit de Trojaanse Oorlog in. </w:t>
            </w:r>
          </w:p>
          <w:p w:rsidR="00000000" w:rsidDel="00000000" w:rsidP="00000000" w:rsidRDefault="00000000" w:rsidRPr="00000000" w14:paraId="0000005D">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widowControl w:val="0"/>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leerlingen tekenen hun personage op de achterkant van de hand-out. </w:t>
            </w:r>
          </w:p>
        </w:tc>
        <w:tc>
          <w:tcPr/>
          <w:p w:rsidR="00000000" w:rsidDel="00000000" w:rsidP="00000000" w:rsidRDefault="00000000" w:rsidRPr="00000000" w14:paraId="0000005F">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60">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w:t>
            </w:r>
          </w:p>
        </w:tc>
        <w:tc>
          <w:tcPr/>
          <w:p w:rsidR="00000000" w:rsidDel="00000000" w:rsidP="00000000" w:rsidRDefault="00000000" w:rsidRPr="00000000" w14:paraId="00000061">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MZkm4: Vloeiend schrijven</w:t>
            </w:r>
          </w:p>
          <w:p w:rsidR="00000000" w:rsidDel="00000000" w:rsidP="00000000" w:rsidRDefault="00000000" w:rsidRPr="00000000" w14:paraId="00000062">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hand-out Personage creëren </w:t>
            </w:r>
          </w:p>
        </w:tc>
      </w:tr>
      <w:tr>
        <w:trPr>
          <w:cantSplit w:val="0"/>
          <w:trHeight w:val="4524.765625000001" w:hRule="atLeast"/>
          <w:tblHeader w:val="0"/>
        </w:trPr>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 </w:t>
            </w:r>
          </w:p>
        </w:tc>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Creatieve oefening</w:t>
            </w:r>
          </w:p>
        </w:tc>
        <w:tc>
          <w:tcPr/>
          <w:p w:rsidR="00000000" w:rsidDel="00000000" w:rsidP="00000000" w:rsidRDefault="00000000" w:rsidRPr="00000000" w14:paraId="00000066">
            <w:pPr>
              <w:widowControl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schrijven hun naam op de voorkant van het kroontje in het Oudgrieks. Op de achterkant schrijven ze of ze Griek (πλοιον) of Trojaan (παιδιον) zijn.</w:t>
            </w:r>
          </w:p>
          <w:p w:rsidR="00000000" w:rsidDel="00000000" w:rsidP="00000000" w:rsidRDefault="00000000" w:rsidRPr="00000000" w14:paraId="00000067">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widowControl w:val="0"/>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leerlingen versieren hun kroontje. </w:t>
            </w:r>
          </w:p>
        </w:tc>
        <w:tc>
          <w:tcPr/>
          <w:p w:rsidR="00000000" w:rsidDel="00000000" w:rsidP="00000000" w:rsidRDefault="00000000" w:rsidRPr="00000000" w14:paraId="00000069">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p w:rsidR="00000000" w:rsidDel="00000000" w:rsidP="00000000" w:rsidRDefault="00000000" w:rsidRPr="00000000" w14:paraId="0000006A">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Oudgrieks</w:t>
            </w:r>
          </w:p>
        </w:tc>
        <w:tc>
          <w:tcPr/>
          <w:p w:rsidR="00000000" w:rsidDel="00000000" w:rsidP="00000000" w:rsidRDefault="00000000" w:rsidRPr="00000000" w14:paraId="0000006B">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MZkm4: Vloeiend schrijven</w:t>
            </w:r>
          </w:p>
          <w:p w:rsidR="00000000" w:rsidDel="00000000" w:rsidP="00000000" w:rsidRDefault="00000000" w:rsidRPr="00000000" w14:paraId="0000006C">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MZkm1: Zelfredzaam zijn in het uitvoeren van manipulatieve handelingen in verschillende situaties; deze handelingen nauwkeurig, gedoseerd en ontspannen uitvoeren</w:t>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(dia 12)</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Kroontje</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Knutselmateriaal (gekleurd papier + pijpenragers)</w:t>
            </w:r>
          </w:p>
        </w:tc>
      </w:tr>
      <w:tr>
        <w:trPr>
          <w:cantSplit w:val="0"/>
          <w:tblHeader w:val="0"/>
        </w:trPr>
        <w:tc>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Afsluitende vragen</w:t>
            </w:r>
          </w:p>
        </w:tc>
        <w:tc>
          <w:tcPr/>
          <w:p w:rsidR="00000000" w:rsidDel="00000000" w:rsidP="00000000" w:rsidRDefault="00000000" w:rsidRPr="00000000" w14:paraId="00000075">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 huiswerk wordt uitgedeeld. Bij het huiswerk wordt de vraag toegevoegd om het Trojaanse paard te tekenen.</w:t>
            </w:r>
          </w:p>
          <w:p w:rsidR="00000000" w:rsidDel="00000000" w:rsidP="00000000" w:rsidRDefault="00000000" w:rsidRPr="00000000" w14:paraId="0000007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 leerkracht vraagt de leerlingen om te vertellen wat ze die les geleerd hebben.</w:t>
            </w:r>
          </w:p>
        </w:tc>
        <w:tc>
          <w:tcPr/>
          <w:p w:rsidR="00000000" w:rsidDel="00000000" w:rsidP="00000000" w:rsidRDefault="00000000" w:rsidRPr="00000000" w14:paraId="0000007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Nederlands</w:t>
            </w:r>
          </w:p>
        </w:tc>
        <w:tc>
          <w:tcPr/>
          <w:p w:rsidR="00000000" w:rsidDel="00000000" w:rsidP="00000000" w:rsidRDefault="00000000" w:rsidRPr="00000000" w14:paraId="00000079">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TOmn3: Actief deelnemen aan een gesprek</w:t>
            </w:r>
          </w:p>
          <w:p w:rsidR="00000000" w:rsidDel="00000000" w:rsidP="00000000" w:rsidRDefault="00000000" w:rsidRPr="00000000" w14:paraId="0000007A">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IVzv2: Op een efficiënte manier informatie en leerervaringen opnemen, verwerken, weergeven (delen) en deze onthouden en inzetten bij nieuwe ervaringen en in complexere situaties</w:t>
            </w:r>
          </w:p>
        </w:tc>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Powerpoint (dia 14)</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Huiswerk: tekening personage afwerken</w:t>
            </w:r>
          </w:p>
        </w:tc>
      </w:tr>
    </w:tbl>
    <w:p w:rsidR="00000000" w:rsidDel="00000000" w:rsidP="00000000" w:rsidRDefault="00000000" w:rsidRPr="00000000" w14:paraId="0000007E">
      <w:pPr>
        <w:rPr>
          <w:rFonts w:ascii="Calibri" w:cs="Calibri" w:eastAsia="Calibri" w:hAnsi="Calibri"/>
          <w:b w:val="1"/>
          <w:sz w:val="22"/>
          <w:szCs w:val="22"/>
        </w:rPr>
      </w:pPr>
      <w:r w:rsidDel="00000000" w:rsidR="00000000" w:rsidRPr="00000000">
        <w:rPr>
          <w:rtl w:val="0"/>
        </w:rPr>
      </w:r>
    </w:p>
    <w:sectPr>
      <w:footerReference r:id="rId7" w:type="default"/>
      <w:pgSz w:h="11906" w:w="16838" w:orient="landscape"/>
      <w:pgMar w:bottom="1440" w:top="709" w:left="426"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14042B"/>
    <w:rPr>
      <w:lang w:eastAsia="en-GB"/>
    </w:rPr>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character" w:styleId="Hyperlink">
    <w:name w:val="Hyperlink"/>
    <w:basedOn w:val="Standaardalinea-lettertype"/>
    <w:uiPriority w:val="99"/>
    <w:unhideWhenUsed w:val="1"/>
    <w:rsid w:val="006F6D2B"/>
    <w:rPr>
      <w:color w:val="0000ff"/>
      <w:u w:val="single"/>
    </w:rPr>
  </w:style>
  <w:style w:type="table" w:styleId="Tabelraster">
    <w:name w:val="Table Grid"/>
    <w:basedOn w:val="Standaardtabel"/>
    <w:uiPriority w:val="39"/>
    <w:rsid w:val="00AE099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320664"/>
    <w:pPr>
      <w:ind w:left="720"/>
      <w:contextualSpacing w:val="1"/>
    </w:pPr>
  </w:style>
  <w:style w:type="paragraph" w:styleId="Koptekst">
    <w:name w:val="header"/>
    <w:basedOn w:val="Standaard"/>
    <w:link w:val="KoptekstChar"/>
    <w:uiPriority w:val="99"/>
    <w:unhideWhenUsed w:val="1"/>
    <w:rsid w:val="0088259E"/>
    <w:pPr>
      <w:tabs>
        <w:tab w:val="center" w:pos="4513"/>
        <w:tab w:val="right" w:pos="9026"/>
      </w:tabs>
    </w:pPr>
  </w:style>
  <w:style w:type="character" w:styleId="KoptekstChar" w:customStyle="1">
    <w:name w:val="Koptekst Char"/>
    <w:basedOn w:val="Standaardalinea-lettertype"/>
    <w:link w:val="Koptekst"/>
    <w:uiPriority w:val="99"/>
    <w:rsid w:val="0088259E"/>
    <w:rPr>
      <w:rFonts w:ascii="Times New Roman" w:cs="Times New Roman" w:hAnsi="Times New Roman"/>
      <w:sz w:val="24"/>
      <w:szCs w:val="24"/>
      <w:lang w:eastAsia="en-GB"/>
    </w:rPr>
  </w:style>
  <w:style w:type="paragraph" w:styleId="Voettekst">
    <w:name w:val="footer"/>
    <w:basedOn w:val="Standaard"/>
    <w:link w:val="VoettekstChar"/>
    <w:uiPriority w:val="99"/>
    <w:unhideWhenUsed w:val="1"/>
    <w:rsid w:val="0088259E"/>
    <w:pPr>
      <w:tabs>
        <w:tab w:val="center" w:pos="4513"/>
        <w:tab w:val="right" w:pos="9026"/>
      </w:tabs>
    </w:pPr>
  </w:style>
  <w:style w:type="character" w:styleId="VoettekstChar" w:customStyle="1">
    <w:name w:val="Voettekst Char"/>
    <w:basedOn w:val="Standaardalinea-lettertype"/>
    <w:link w:val="Voettekst"/>
    <w:uiPriority w:val="99"/>
    <w:rsid w:val="0088259E"/>
    <w:rPr>
      <w:rFonts w:ascii="Times New Roman" w:cs="Times New Roman" w:hAnsi="Times New Roman"/>
      <w:sz w:val="24"/>
      <w:szCs w:val="24"/>
      <w:lang w:eastAsia="en-GB"/>
    </w:rPr>
  </w:style>
  <w:style w:type="paragraph" w:styleId="Ballontekst">
    <w:name w:val="Balloon Text"/>
    <w:basedOn w:val="Standaard"/>
    <w:link w:val="BallontekstChar"/>
    <w:uiPriority w:val="99"/>
    <w:semiHidden w:val="1"/>
    <w:unhideWhenUsed w:val="1"/>
    <w:rsid w:val="00877651"/>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77651"/>
    <w:rPr>
      <w:rFonts w:ascii="Segoe UI" w:cs="Segoe UI" w:hAnsi="Segoe UI"/>
      <w:sz w:val="18"/>
      <w:szCs w:val="18"/>
      <w:lang w:eastAsia="en-GB"/>
    </w:rPr>
  </w:style>
  <w:style w:type="character" w:styleId="GevolgdeHyperlink">
    <w:name w:val="FollowedHyperlink"/>
    <w:basedOn w:val="Standaardalinea-lettertype"/>
    <w:uiPriority w:val="99"/>
    <w:semiHidden w:val="1"/>
    <w:unhideWhenUsed w:val="1"/>
    <w:rsid w:val="0019707B"/>
    <w:rPr>
      <w:color w:val="800080" w:themeColor="followedHyperlink"/>
      <w:u w:val="single"/>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prUVpMwuT9yzi76CAD+itZ8g==">CgMxLjA4AGohChRzdWdnZXN0LnF1Y2FncGNiYzh3cBIJQXVyZWxpZSB4ciExWGlZNnlrc29YZU9YN2tScWhjckM3aWktbC1CQkQ0dkQ=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2023-02-19T14:10:00Z</dcterms:created>
  <dc:creator>University of Wales Swansea</dc:creator>
</cp:coreProperties>
</file>